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ad6f96176479c4770325d290682fb1b083883"/>
    <w:p>
      <w:pPr>
        <w:pStyle w:val="Heading3"/>
      </w:pPr>
      <w:r>
        <w:t xml:space="preserve">О возможности получения налоговых уведомлений через личный кабинет на ЕПГУ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drawing>
          <wp:inline>
            <wp:extent cx="5334000" cy="52344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d8c/viltc86tmaf7si33uejzg95eisg66hm4/Screenshot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34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http://marino.mos.ru/activity/tax-policy/novosti/detail/11789347.html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activity/tax-policy/novosti/detail/11789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activity/tax-policy/novosti/detail/11789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2025-04-01T01:40:25Z</dcterms:created>
  <dcterms:modified xsi:type="dcterms:W3CDTF">2025-04-01T01:40:25Z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