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e209e9de4694b5901d8511d38cc108ba52745"/>
    <w:p>
      <w:pPr>
        <w:pStyle w:val="Heading3"/>
      </w:pPr>
      <w:r>
        <w:t xml:space="preserve">Люблинской межрайонной прокуратурой в рамках текущей деятельности регулярно проводится мониторинг ЕИС «Закупки»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Люблинской межрайонной прокуратурой в рамках текущей деятельности регулярно проводится мониторинг ЕИС «Закупки», в ходе которого в деятельности одного из поднадзорных учреждений были выявлены нарушения федерального законодательства в части своевременной оплаты по заключенным контрактам перед субъектами предпринимательской деятельности. Межрайонной прокуратурой установлено, что между ГБУ г. Москвы «…» (далее Заказчик) и ООО «…» (далее - Исполнитель) заключен контракт на выполнение работ по замене забора в рамках благоустройства территории для нужд ГБУ «Жилищник района Капотня» на сумму 5 319 796, 48 руб.</w:t>
      </w:r>
    </w:p>
    <w:p>
      <w:pPr>
        <w:pStyle w:val="BodyText"/>
      </w:pPr>
      <w:r>
        <w:t xml:space="preserve">Исполнителем работы выполнены в полном объеме, нареканий к качеству и объему выполненных работ со стороны Заказчика не усмотрено, тем не менее, указанные работы не были оплачены в</w:t>
      </w:r>
    </w:p>
    <w:p>
      <w:pPr>
        <w:pStyle w:val="BodyText"/>
      </w:pPr>
      <w:r>
        <w:t xml:space="preserve">установленный срок.</w:t>
      </w:r>
    </w:p>
    <w:p>
      <w:pPr>
        <w:pStyle w:val="BodyText"/>
      </w:pPr>
      <w:r>
        <w:t xml:space="preserve">Аналогичные нарушения в сроках оплаты выявлены при исполнении контрактов c ИП и «…» Таким образом, общий долг бюджетного учреждения, перед субъектами предпринимательской деятельности, относящихся к субъектам малого предпринимательства составляет 10 535 079,3 руб.</w:t>
      </w:r>
    </w:p>
    <w:p>
      <w:pPr>
        <w:pStyle w:val="BodyText"/>
      </w:pPr>
      <w:r>
        <w:t xml:space="preserve">Мерами прокурорского реагирования контролируется погашение долга перед субъектом предпринимательской деятельности, виновные должностные лица привлечены к дисциплинарной и административной ответственности в виде штрафа по трем делам об административных правонарушениях Соблюдение прав субъектов предпринимательской деятельности остается на контроле межрайонной прокуратуры.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http://marino.mos.ru/law-and-order-and-safety/the-prosecutor-s-office/the-prosecutor-rajasree/detail/12453455.html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3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53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2025-03-01T09:37:47Z</dcterms:created>
  <dcterms:modified xsi:type="dcterms:W3CDTF">2025-03-01T09:37:47Z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