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b842899513fd1bf37634547e4325d9bdd342f"/>
    <w:p>
      <w:pPr>
        <w:pStyle w:val="Heading3"/>
      </w:pPr>
      <w:r>
        <w:t xml:space="preserve">Установлена административная ответственность за спам-звонки и недобросовестную рекламу микрофинансовых организаций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С 17 апреля 2024 года внесены изменения в ст. 14.3 Кодекса Российской Федерации об административных правонарушениях, предусматривающую ответственность за нарушение законодательства о рекламе.</w:t>
      </w:r>
      <w:r>
        <w:br/>
      </w:r>
      <w:r>
        <w:br/>
      </w:r>
    </w:p>
    <w:p>
      <w:pPr>
        <w:pStyle w:val="BodyText"/>
      </w:pPr>
      <w:r>
        <w:t xml:space="preserve">Согласно нововведениям, ужесточается наказание за спам-звонки и рекламу кредитов с нарушением Федерального закона от 16.03.2006 No38-Ф3 «О рекламе». Так, нарушение установленных законодательством о рекламе требований к рекламе, распространяемой по сетям электросвязи, повлечет наложение административного штрафа:</w:t>
      </w:r>
      <w:r>
        <w:br/>
      </w:r>
      <w:r>
        <w:t xml:space="preserve">- на граждан в размере от 10 до 20 тысяч рублей,</w:t>
      </w:r>
      <w:r>
        <w:br/>
      </w:r>
      <w:r>
        <w:t xml:space="preserve">- на должностных лиц от 20 до 100 тысяч рублей,</w:t>
      </w:r>
      <w:r>
        <w:br/>
      </w:r>
      <w:r>
        <w:t xml:space="preserve">-на юридических лиц от 300 тысяч до 1 млн. рублей.</w:t>
      </w:r>
      <w:r>
        <w:br/>
      </w:r>
      <w:r>
        <w:br/>
      </w:r>
    </w:p>
    <w:p>
      <w:pPr>
        <w:pStyle w:val="BodyText"/>
      </w:pPr>
      <w:r>
        <w:t xml:space="preserve">Кроме этого, законом ответственность аз недобросовестную рекламу услуг по предоставлению кредитов и займов распространена на микрофинансовые организации, и увеличены размеры штрафов за указанное правонарушение.</w:t>
      </w:r>
      <w:r>
        <w:br/>
      </w:r>
      <w:r>
        <w:br/>
      </w:r>
    </w:p>
    <w:p>
      <w:pPr>
        <w:pStyle w:val="BodyText"/>
      </w:pPr>
      <w:r>
        <w:t xml:space="preserve">Допущение подобных нарушений повлечет наложение административного штрафа: для должностных лиц -от 40 до 100 тысяч рублей; для юридических лиц - от 600 тысяч до 1,6 млн.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2025-02-27T07:38:35Z</dcterms:created>
  <dcterms:modified xsi:type="dcterms:W3CDTF">2025-02-27T07:38:35Z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