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83d3308c1ee7547f87200ef3254737be7db55"/>
    <w:p>
      <w:pPr>
        <w:pStyle w:val="Heading3"/>
      </w:pPr>
      <w:r>
        <w:t xml:space="preserve">Уголовная ответственность за подкуп работников, организующих государственные и муниципальные закупки</w:t>
      </w:r>
    </w:p>
    <w:p>
      <w:pPr>
        <w:pStyle w:val="FirstParagraph"/>
      </w:pPr>
      <w:r>
        <w:t xml:space="preserve">24.07.2024</w:t>
      </w:r>
    </w:p>
    <w:p>
      <w:pPr>
        <w:pStyle w:val="BodyText"/>
      </w:pPr>
      <w:r>
        <w:t xml:space="preserve">Федеральным законом от 23.04.2018 No 99-Ф3 в Уголовный кодекс Российской Федерации (далее - УК РФ) введена статья 200.5 УК РФ, которая предусматривает ответственность за подкуп работника контрактной службы, контрактного управляющего, члена комиссии по осуществлению закупок.</w:t>
      </w:r>
      <w:r>
        <w:br/>
      </w:r>
      <w:r>
        <w:br/>
      </w:r>
    </w:p>
    <w:p>
      <w:pPr>
        <w:pStyle w:val="BodyText"/>
      </w:pPr>
      <w:r>
        <w:t xml:space="preserve">К уголовной ответственности за данное преступление привлекаются как лица, передающие незаконное вознаграждение, так и лица, его получающие.</w:t>
      </w:r>
      <w:r>
        <w:br/>
      </w:r>
      <w:r>
        <w:br/>
      </w:r>
    </w:p>
    <w:p>
      <w:pPr>
        <w:pStyle w:val="BodyText"/>
      </w:pPr>
      <w:r>
        <w:t xml:space="preserve">В качестве незаконного вознаграждения могут выступать: деньги, ценные бумаги, иное движимое и недвижимое имущество, а также услуги имущественного характера.</w:t>
      </w:r>
      <w:r>
        <w:br/>
      </w:r>
      <w:r>
        <w:br/>
      </w:r>
    </w:p>
    <w:p>
      <w:pPr>
        <w:pStyle w:val="BodyText"/>
      </w:pPr>
      <w:r>
        <w:t xml:space="preserve">Получателями незаконного вознаграждения в данном случае являются лица, хотя и не относящиеся к категории должностных, но непосредственно участвующие в организации закупок. Например, в составлении конкурсной документации, организации электронных аукционов или проверке предоставляемых товаров (работ, услуг) перед подписанием уполномоченным должностным лицом соответствующих актов об их приеме.</w:t>
      </w:r>
      <w:r>
        <w:br/>
      </w:r>
      <w:r>
        <w:br/>
      </w:r>
    </w:p>
    <w:p>
      <w:pPr>
        <w:pStyle w:val="BodyText"/>
      </w:pPr>
      <w:r>
        <w:t xml:space="preserve">За подкуп вышеперечисленных лиц предусмотрено уголовное наказание в виде лишения свободы на срок до трех лет со штрафом в размере до десятикратной суммы подкупа или без такового, а аз получение незаконного вознаграждения - в виде лишения свободы на срок до трех лет со штрафом в размере до двадцатикратной суммы подкупа или без такового и с лишением права занимать определенные должности или заниматься определенной деятельностью на срок до трех лет или без такового.</w:t>
      </w:r>
      <w:r>
        <w:br/>
      </w:r>
      <w:r>
        <w:br/>
      </w:r>
    </w:p>
    <w:p>
      <w:pPr>
        <w:pStyle w:val="BodyText"/>
      </w:pPr>
      <w:r>
        <w:t xml:space="preserve">При этом в соответствии с примечанием No 2 к статье 200.5 УК РФ передавшее незаконное вознаграждение лицо может быть освобождено от уголовной ответственности в случае добровольного сообщения в правоохранительные органы о совершенном деянии и активного способствования раскрытию преступления.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http://marino.mos.ru/law-and-order-and-safety/the-prosecutor-s-office/the-prosecutor-rajasree/detail/12490738.html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4907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4907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2025-07-17T18:26:14Z</dcterms:created>
  <dcterms:modified xsi:type="dcterms:W3CDTF">2025-07-17T18:26:14Z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