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26c81f12f00f7e2b4929df55ea63fac594c80a"/>
    <w:p>
      <w:pPr>
        <w:pStyle w:val="Heading3"/>
      </w:pPr>
      <w:r>
        <w:t xml:space="preserve">Постановлением Правительства Российской Федерации от 01.04.2024 № 409 установлены особенности неприменения ответственности в 2024 году</w:t>
      </w:r>
    </w:p>
    <w:p>
      <w:pPr>
        <w:pStyle w:val="FirstParagraph"/>
      </w:pPr>
      <w:r>
        <w:t xml:space="preserve">07.08.2024</w:t>
      </w:r>
    </w:p>
    <w:p>
      <w:pPr>
        <w:pStyle w:val="BodyText"/>
      </w:pPr>
      <w:r>
        <w:t xml:space="preserve">Постановлением Правительства Российской Федерации от 01.04.2024 № 409 установлены особенности неприменения ответственности в 2024 году к лицам, состоящим на учете в налоговых органах по месту нахождения (месту жительства) на территориях Донецкой Народной Республики, Луганской Народной Республики, Запорожской области, Херсонской области. В отношении налогоплательщиков (плательщиков сборов, плательщиков страховых взносов, налоговых агентов), которые на день принятия в Российскую Федерацию и образования в составе Российской Федерации новых субъектов имели в соответствии с учредительными документами место нахождения постоянно действующего исполнительного органа либо иного органа или лица, имеющих право действовать от имени юридического лица без доверенности, либо место жительства на территориях ДНР, ЛНР, Запорожской или Херсонской областей, до 31 декабря 2024 г. включительно не применяется ответственность за нарушение установленного способа представления налоговой декларации (расчета), нарушение правил учета доходов и расходов и объектов налогообложения (базы для исчисления страховых взносов) и (или) за неуплату сумм налога (сбора, страховых взносов). Настоящее постановление вступает в силу со дня его официального опубликования и распространяется на правоотношения, возникшие с 1 января 2024 года</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http://marino.mos.ru/law-and-order-and-safety/the-prosecutor-s-office/the-prosecutor-rajasree/detail/12508966.html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6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5089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2025-06-27T17:21:56Z</dcterms:created>
  <dcterms:modified xsi:type="dcterms:W3CDTF">2025-06-27T17:21:56Z</dcterms:modified>
</cp:coreProperties>
</file>

<file path=docProps/custom.xml><?xml version="1.0" encoding="utf-8"?>
<Properties xmlns="http://schemas.openxmlformats.org/officeDocument/2006/custom-properties" xmlns:vt="http://schemas.openxmlformats.org/officeDocument/2006/docPropsVTypes"/>
</file>