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822b5472efcdee7f3a9076ab79ce5aba8fdd8"/>
    <w:p>
      <w:pPr>
        <w:pStyle w:val="Heading3"/>
      </w:pPr>
      <w:r>
        <w:t xml:space="preserve">Административная ответственность за спам-звонки и недобросовестную рекламу микрофинансовых организаций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С 17 апреля 2024 года внесены изменения в ст. 14.3 Кодекса Российской Федерации об административных правонарушениях, предусматривающую ответственность за нарушение законодательства о рекламе. Согласно нововведениям, ужесточается наказание за спам-звонки и рекламу кредитов с нарушением Федерального закона от 16.03.2006 №38-Ф3 «О рекламе». Так, нарушение установленных законодательством о рекламе требований к рекламе, распространяемой по сетям электросвязи, повлечет наложение административного штрафа: - на граждан в размере от 10 до 20 тысяч рублей, - на должностных лиц от 20 до 100 тысяч рублей, - на юридических лиц от 300 тысяч до 1 млн. рублей. Кроме этого, законом ответственность за недобросовестную рекламу услуг по предоставлению кредитов и займов распространена на микрофинансовые организации, и увеличены размеры штрафов за указанное правонарушение. Допущение подобных нарушений повлечет наложение административного штрафа: для должностных лиц -от 40 до 100 тысяч рублей; для юридических лиц - от 600 тысяч до 1,6 млн.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2025-06-01T20:19:03Z</dcterms:created>
  <dcterms:modified xsi:type="dcterms:W3CDTF">2025-06-01T20:19:03Z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