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5665a45d5fe0265b5911b1bf4d3bdc6316521"/>
    <w:p>
      <w:pPr>
        <w:pStyle w:val="Heading3"/>
      </w:pPr>
      <w:r>
        <w:t xml:space="preserve">МЕРЫ противодействия коррупции в сфере закупок</w:t>
      </w:r>
    </w:p>
    <w:p>
      <w:pPr>
        <w:pStyle w:val="FirstParagraph"/>
      </w:pPr>
      <w:r>
        <w:t xml:space="preserve">07.08.2024</w:t>
      </w:r>
    </w:p>
    <w:p>
      <w:pPr>
        <w:pStyle w:val="BodyText"/>
      </w:pPr>
      <w:r>
        <w:t xml:space="preserve">Государством осуществляется работа по минимизации коррупционных проявлений во всех сферах общественных правоотношений. Одна из наиболее подверженных таким рискам – осуществление закупок товаров, работ, услуг для обеспечения государственных и муниципальных нужд. Согласно подпункту 7.1 пункта 1 статьи 31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не допускается участие в государственных (муниципальных) закупках тех юридических лиц, которые в течение двух лет до момента подачи заявки на участие в закупке привлекались к административной ответственности по статье 19.28 КоАП РФ. Заказчик самостоятельно проверяет достоверность информации, которую декларирует участник закупки, в том числе и сведения в этой части. Информацию о штрафах по ст. 19.28 КоАП РФ оператор самостоятельно получает из Единой информационной системы в сфере закупок (далее – ЕИС). При этом изначально указанные сведения формируются в ЕИС Федеральным казначейством. Следует отметить, что государственный (муниципальный) контракт, заключенный с такой организацией, подлежит безусловному расторжению заказчиком в одностороннем порядке вне зависимости от стадии исполнения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http://marino.mos.ru/law-and-order-and-safety/the-prosecutor-s-office/the-prosecutor-rajasree/detail/12509036.html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5090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5090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2025-03-01T05:41:52Z</dcterms:created>
  <dcterms:modified xsi:type="dcterms:W3CDTF">2025-03-01T05:41:52Z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