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ы-по-профилактике-коррупции"/>
    <w:p>
      <w:pPr>
        <w:pStyle w:val="Heading3"/>
      </w:pPr>
      <w:r>
        <w:t xml:space="preserve">Меры по профилактике коррупции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t xml:space="preserve">Профилактика коррупции осуществляется путем применения следующих основных мер: </w:t>
      </w:r>
    </w:p>
    <w:p>
      <w:pPr>
        <w:pStyle w:val="BodyText"/>
      </w:pPr>
      <w:r>
        <w:t xml:space="preserve">1) формирование в обществе нетерпимости к коррупционному поведению; </w:t>
      </w:r>
    </w:p>
    <w:p>
      <w:pPr>
        <w:pStyle w:val="BodyText"/>
      </w:pPr>
      <w:r>
        <w:t xml:space="preserve">2) антикоррупционная экспертиза правовых актов и их проектов; </w:t>
      </w:r>
    </w:p>
    <w:p>
      <w:pPr>
        <w:pStyle w:val="BodyText"/>
      </w:pPr>
      <w:r>
        <w:t xml:space="preserve">2.1) 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 </w:t>
      </w:r>
    </w:p>
    <w:p>
      <w:pPr>
        <w:pStyle w:val="BodyText"/>
      </w:pPr>
      <w:r>
        <w:t xml:space="preserve">3)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>
      <w:pPr>
        <w:pStyle w:val="BodyText"/>
      </w:pPr>
      <w:r>
        <w:t xml:space="preserve"> 4) установление в качестве основания для освобождения от замещаемой должности и (или) увольнения лица, замещающего должность государственной или муниципальной службы, включенную в перечень, установленный нормативными правовыми актами Российской Федерации,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>
      <w:pPr>
        <w:pStyle w:val="BodyText"/>
      </w:pPr>
      <w:r>
        <w:t xml:space="preserve"> 5) 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дипломатического ранга или при его поощрении; </w:t>
      </w:r>
    </w:p>
    <w:p>
      <w:pPr>
        <w:pStyle w:val="BodyText"/>
      </w:pPr>
      <w:r>
        <w:t xml:space="preserve">6) развитие институтов общественного и парламентского контроля за соблюдением законодательства Российской Федерации о противодействии коррупции.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http://marino.mos.ru/law-and-order-and-safety/the-prosecutor-s-office/the-prosecutor-rajasree/detail/12518848.html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8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8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2025-08-02T12:54:48Z</dcterms:created>
  <dcterms:modified xsi:type="dcterms:W3CDTF">2025-08-02T12:54:48Z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