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3d014c572dcab6e4030eb401d324d43d2254cc"/>
    <w:p>
      <w:pPr>
        <w:pStyle w:val="Heading3"/>
      </w:pPr>
      <w:r>
        <w:t xml:space="preserve">Люблинская межрайонная прокуратура г. Москвы разъясняет, какие действия считаются неуважением к суду</w:t>
      </w:r>
    </w:p>
    <w:p>
      <w:pPr>
        <w:pStyle w:val="FirstParagraph"/>
      </w:pPr>
      <w:r>
        <w:t xml:space="preserve">09.10.2024</w:t>
      </w:r>
    </w:p>
    <w:p>
      <w:pPr>
        <w:pStyle w:val="BodyText"/>
      </w:pPr>
      <w:r>
        <w:t xml:space="preserve">Согласно Постановлению Пленума Верховного Суда РФ от 13.06.2017 №21 «О применении судами мер процессуального принуждения при рассмотрении административных дел» под неуважением к суду могут считаться действия или бездействие, которые говорят о явном пренебрежении к правилам поведения в суде. Например, когда в процессуальном документе использованы неприличные выражения. При этом они не оскорбляют участников разбирательства, суд либо секретаря, свидетеля или других лиц, содействующих правосудию.</w:t>
      </w:r>
    </w:p>
    <w:p>
      <w:pPr>
        <w:pStyle w:val="BodyText"/>
      </w:pPr>
      <w:r>
        <w:t xml:space="preserve">Одно и то же ходатайство повторяется, хотя суд уже огласил определение по нему, а объективных причин для такого заявления нет. Нельзя считать неуважением к суду действия или бездействия, которые подпадают под другие положения КАС РФ об ответственности. Например, непредставление доказательств по требованию суда, действия или бездействия, которые влекут уголовную ответственность. За проявление неуважения суд может оштрафовать участвующих в деле лиц и даже тех, кто просто присутствует в зале заседания. Штраф для юридического лица не может</w:t>
      </w:r>
    </w:p>
    <w:p>
      <w:pPr>
        <w:pStyle w:val="BodyText"/>
      </w:pPr>
      <w:r>
        <w:t xml:space="preserve">превышать 50 тысяч рублей.</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http://marino.mos.ru/law-and-order-and-safety/the-prosecutor-s-office/the-prosecutor-rajasree/detail/12604053.html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6040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6040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2025-02-27T05:48:35Z</dcterms:created>
  <dcterms:modified xsi:type="dcterms:W3CDTF">2025-02-27T05:48:35Z</dcterms:modified>
</cp:coreProperties>
</file>

<file path=docProps/custom.xml><?xml version="1.0" encoding="utf-8"?>
<Properties xmlns="http://schemas.openxmlformats.org/officeDocument/2006/custom-properties" xmlns:vt="http://schemas.openxmlformats.org/officeDocument/2006/docPropsVTypes"/>
</file>