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7a20cb30ff010e653a40ff3ea5d7a6aef5d84a"/>
    <w:p>
      <w:pPr>
        <w:pStyle w:val="Heading3"/>
      </w:pPr>
      <w:r>
        <w:t xml:space="preserve">Прокуратурой ЮВАО г. Москвы проведена проверка соблюдения требований жилищного законодательства, законодательства в сфере жилищно-коммунального хозяйства, миграционного законодательства в ходе которой в деятельности юрид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t xml:space="preserve">Прокуратурой Юго-Восточного административного округа г. Москвы проведена проверка соблюдения требований жилищного законодательства, законодательства в сфере жилищно-коммунального хозяйства, миграционного законодательства в ходе которой в деятельности юридического лица выявлены нарушения, заключающиеся в следующем.</w:t>
      </w:r>
    </w:p>
    <w:p>
      <w:pPr>
        <w:pStyle w:val="BodyText"/>
      </w:pPr>
      <w:r>
        <w:t xml:space="preserve">Согласно ч. 1 ст. 161 Жилищного Кодекса Российской Федерации (далее – ЖК РФ), управление многоквартирным домом должно обеспечивать благоприятные и безопасные условия проживания граждан, надлежащее содержание общего имущества в многоквартирном доме, решение вопросов пользования указанным имуществом, а также предоставление коммунальных услуг гражданам, проживающим в таком доме.</w:t>
      </w:r>
    </w:p>
    <w:p>
      <w:pPr>
        <w:pStyle w:val="BodyText"/>
      </w:pPr>
      <w:r>
        <w:t xml:space="preserve">В соответствии с ч. 2 ст. 161 ЖК РФ надлежащее содержание общего имущества собственников помещений в многоквартирном доме должно осуществляться в соответствии с требованиями законодательства Российской Федерации, в том числе в области обеспечения санитарно-эпидемиологического благополучия населения, о техническом регулировании, пожарной безопасности, защите прав потребителей, и должно обеспечивать: соблюдение требований</w:t>
      </w:r>
      <w:r>
        <w:br/>
      </w:r>
      <w:r>
        <w:t xml:space="preserve">к надежности и безопасности многоквартирного дома, безопасность жизни</w:t>
      </w:r>
      <w:r>
        <w:br/>
      </w:r>
      <w:r>
        <w:t xml:space="preserve">и здоровья граждан, имущества физических лиц, имущества юридических лиц, государственного и муниципального имущества, доступность пользования помещениями и иным имуществом, входящим в состав общего имущества собственников помещений в многоквартирном доме, соблюдение прав и законных интересов собственников помещений в многоквартирном доме, а также иных лиц, постоянную готовность инженерных коммуникаций, приборов учета и другого оборудования, входящих в состав общего имущества собственников помещений</w:t>
      </w:r>
      <w:r>
        <w:br/>
      </w:r>
      <w:r>
        <w:t xml:space="preserve">в многоквартирном доме, к осуществлению поставок ресурсов, необходимых для предоставления коммунальных услуг гражданам, проживающим</w:t>
      </w:r>
      <w:r>
        <w:br/>
      </w:r>
      <w:r>
        <w:t xml:space="preserve">в многоквартирном доме, в соответствии с правилами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домах, установленными Правительством Российской Федерации.</w:t>
      </w:r>
    </w:p>
    <w:p>
      <w:pPr>
        <w:pStyle w:val="BodyText"/>
      </w:pPr>
      <w:r>
        <w:t xml:space="preserve">Одним из направлений по стратегическому развитию является Национальный проект «Жилье и городская среда».</w:t>
      </w:r>
    </w:p>
    <w:p>
      <w:pPr>
        <w:pStyle w:val="BodyText"/>
      </w:pPr>
      <w:r>
        <w:t xml:space="preserve">Согласно паспорту национального проекта «Жилье и городская среда», утвержденного протоколом от 24.12.2018 № 16 президиумом Совета</w:t>
      </w:r>
      <w:r>
        <w:br/>
      </w:r>
      <w:r>
        <w:t xml:space="preserve">при Президенте Российской Федерации и стратегическому развитию,</w:t>
      </w:r>
      <w:r>
        <w:br/>
      </w:r>
      <w:r>
        <w:t xml:space="preserve">и национальным проектам (далее – национальный проект) одной из целей данного национального проекта является кардинальное повышение комфортности городской среды.</w:t>
      </w:r>
    </w:p>
    <w:p>
      <w:pPr>
        <w:pStyle w:val="BodyText"/>
      </w:pPr>
      <w:r>
        <w:t xml:space="preserve">Согласно структуре национального проекта разделом 3 закреплено формирование комфортной городской среды.</w:t>
      </w:r>
    </w:p>
    <w:p>
      <w:pPr>
        <w:pStyle w:val="BodyText"/>
      </w:pPr>
      <w:r>
        <w:t xml:space="preserve">В соответствии с</w:t>
      </w:r>
      <w:r>
        <w:t xml:space="preserve"> </w:t>
      </w:r>
      <w:hyperlink r:id="rId20">
        <w:r>
          <w:rPr>
            <w:rStyle w:val="Hyperlink"/>
          </w:rPr>
          <w:t xml:space="preserve">п. 53</w:t>
        </w:r>
      </w:hyperlink>
      <w:r>
        <w:t xml:space="preserve"> </w:t>
      </w:r>
      <w:r>
        <w:t xml:space="preserve">Положения о Государственном комитете Российской Федерации по строительству и жилищно-коммунальному комплексу, утвержденного Постановлением Правительства Российской Федерации от 24.11.99 № 1289, разработаны Правила и нормы технической эксплуатации жилищного фонда, которые определяют правила по эксплуатации, капитальному ремонту и реконструкции объектов жилищно-коммунального хозяйства, обеспечению сохранности и содержанию жилищного фонда, технической инвентаризации и являются обязательными для исполнения органами исполнительной власти субъектов Российской Федерации, органами государственного контроля и надзора, органами местного самоуправления.</w:t>
      </w:r>
    </w:p>
    <w:p>
      <w:pPr>
        <w:pStyle w:val="BodyText"/>
      </w:pPr>
      <w:r>
        <w:t xml:space="preserve">Постановлением Госстроя Российской Федерации от 27.09.2003 № 170 утверждены Правила и нормы технической эксплуатации жилищного фонда (далее – Правила).</w:t>
      </w:r>
    </w:p>
    <w:p>
      <w:pPr>
        <w:pStyle w:val="BodyText"/>
      </w:pPr>
      <w:r>
        <w:t xml:space="preserve">В ходе проведенных прокуратурой округа проверочных мероприятий выявлены следующие нарушения Правил и норм технической эксплуатации жилищного фонда, утвержденных постановлением Госстроя РФ от 27 сентября 2003 г. № 170 (далее - Правила):</w:t>
      </w:r>
    </w:p>
    <w:p>
      <w:pPr>
        <w:pStyle w:val="BodyText"/>
      </w:pPr>
      <w:r>
        <w:t xml:space="preserve">- в подвальном помещении жилого многоквартирного дома допущено проживание иностранных граждан, осуществляющих трудовую деятельность в проверяемом юридическом лице, подвальное помещение захламлено бытовыми предметами, а также оборудовано под проживание (п. 4.1.15 Правил).</w:t>
      </w:r>
    </w:p>
    <w:p>
      <w:pPr>
        <w:pStyle w:val="BodyText"/>
      </w:pPr>
      <w:r>
        <w:t xml:space="preserve">Таким образом, нарушение требований жилищного законодательства, законодательства в сфере жилищно-коммунального хозяйства свидетельствует также о недостижении задачи создания комфортных условий</w:t>
      </w:r>
      <w:r>
        <w:br/>
      </w:r>
      <w:r>
        <w:t xml:space="preserve">для комфортного проживания, то есть недостижения целевых показателей Национального проекта «Жилье и городская среда».</w:t>
      </w:r>
    </w:p>
    <w:p>
      <w:pPr>
        <w:pStyle w:val="BodyText"/>
      </w:pPr>
      <w:r>
        <w:t xml:space="preserve">Кроме того, в соответствии с ч. 1 ст. 20 Федерального закона Российской Федерации от 18.07.2006 № 109-ФЗ «О миграционном учете иностранных граждан и лиц без гражданства в Российской Федерации» иностранный гражданин в случае нахождения в месте пребывания подлежит постановке на учет по месту пребывания в порядке и на условиях, которые установлены в соответствии с настоящим Федеральным законом или международным договором Российской Федерации.</w:t>
      </w:r>
    </w:p>
    <w:p>
      <w:pPr>
        <w:pStyle w:val="BodyText"/>
      </w:pPr>
      <w:r>
        <w:t xml:space="preserve">Проживание иностранных граждан допускается только в жилых помещениях, предназначенных для целей проживания.</w:t>
      </w:r>
    </w:p>
    <w:p>
      <w:pPr>
        <w:pStyle w:val="BodyText"/>
      </w:pPr>
      <w:r>
        <w:t xml:space="preserve">Таким образом, изложенное также свидетельствует о нарушении миграционных требований.</w:t>
      </w:r>
    </w:p>
    <w:p>
      <w:pPr>
        <w:pStyle w:val="BodyText"/>
      </w:pPr>
      <w:r>
        <w:t xml:space="preserve">В связи с изложенным, в адрес руководителя юридического лица внесено представление об устранении выявленных нарушений закона, которое рассмотрено и удовлетворено.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http://marino.mos.ru/law-and-order-and-safety/the-prosecutor-s-office/the-prosecutor-rajasree/detail/12737221.html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Марьино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E996FFB1CDB507F6ACC91D4CF2F2C583345AD761380D4BE06A27FFE1B0C4D073D6860B8B393E8AGFq0P" TargetMode="External" /><Relationship Type="http://schemas.openxmlformats.org/officeDocument/2006/relationships/hyperlink" Id="rId22" Target="http://marino.mos.ru" TargetMode="External" /><Relationship Type="http://schemas.openxmlformats.org/officeDocument/2006/relationships/hyperlink" Id="rId21" Target="http://marino.mos.ru/law-and-order-and-safety/the-prosecutor-s-office/the-prosecutor-rajasree/detail/127372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E996FFB1CDB507F6ACC91D4CF2F2C583345AD761380D4BE06A27FFE1B0C4D073D6860B8B393E8AGFq0P" TargetMode="External" /><Relationship Type="http://schemas.openxmlformats.org/officeDocument/2006/relationships/hyperlink" Id="rId22" Target="http://marino.mos.ru" TargetMode="External" /><Relationship Type="http://schemas.openxmlformats.org/officeDocument/2006/relationships/hyperlink" Id="rId21" Target="http://marino.mos.ru/law-and-order-and-safety/the-prosecutor-s-office/the-prosecutor-rajasree/detail/127372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2025-03-01T05:16:14Z</dcterms:created>
  <dcterms:modified xsi:type="dcterms:W3CDTF">2025-03-01T05:16:14Z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