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e0ee7115a0420140a2978ad1aa5991111102"/>
    <w:p>
      <w:pPr>
        <w:pStyle w:val="Heading3"/>
      </w:pPr>
      <w:r>
        <w:t xml:space="preserve">Прокуратурой ЮВАО г. Москвы проведена проверка соблюдения юридическим лицом требований законодательства в сфере санитарно-эпидемиологического благополучия населения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юридическим лицом требований законодательства в сфере санитарно-эпидемиологического благополучия населения, законодательства о противопожарной безопасности, трудового законодательства в ходе которой выявлены нарушения, заключающиеся в следующем.</w:t>
      </w:r>
    </w:p>
    <w:p>
      <w:pPr>
        <w:pStyle w:val="BodyText"/>
      </w:pPr>
      <w:r>
        <w:t xml:space="preserve">В соответствии с п. 6 ч. 1 ст. 12 Федерального закона от 23.02.2013 № 15-ФЗ </w:t>
      </w:r>
      <w:r>
        <w:t xml:space="preserve">«Об охране здоровья граждан от воздействия окружающего табачного дыма, последствий потребления табака или потребления никотинсодержащей продукции», для предотвращения воздействия окружающего табачного дыма </w:t>
      </w:r>
      <w:r>
        <w:t xml:space="preserve">и веществ, выделяемых при потреблении никотинсодержащей продукции</w:t>
      </w:r>
    </w:p>
    <w:p>
      <w:pPr>
        <w:pStyle w:val="BodyText"/>
      </w:pPr>
      <w:r>
        <w:t xml:space="preserve">на здоровье человека запрещается курение табака, потребление никотинсодержащей продукции или использование кальянов (за исключением случаев, установленных частью 2 настоящей статьи): в помещениях, предназначенных для предоставления бытовых услуг, услуг торговли, помещениях рынков, в нестационарных торговых объектах.</w:t>
      </w:r>
    </w:p>
    <w:p>
      <w:pPr>
        <w:pStyle w:val="BodyText"/>
      </w:pPr>
      <w:r>
        <w:t xml:space="preserve">Согласно ст. 11 Федерального закона от 30.03.1999 № 52-ФЗ «О санитарно-эпидемиологическом благополучии населения» (далее – ФЗ № 52), Индивидуальные предприниматели и юридические лица в соответствии</w:t>
      </w:r>
    </w:p>
    <w:p>
      <w:pPr>
        <w:pStyle w:val="BodyText"/>
      </w:pPr>
      <w:r>
        <w:t xml:space="preserve">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 </w:t>
      </w:r>
      <w:r>
        <w:t xml:space="preserve">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 </w:t>
      </w:r>
      <w:r>
        <w:t xml:space="preserve">за соблюдением санитарно-эпидемиологических требований и проведением санитарно-противоэпидемических (профилактических) мероприятий </w:t>
      </w:r>
      <w:r>
        <w:t xml:space="preserve">при выполнении работ и оказании услуг, а также при производстве, транспортировке, хранении и реализации продукции; проводить работы</w:t>
      </w:r>
    </w:p>
    <w:p>
      <w:pPr>
        <w:pStyle w:val="BodyText"/>
      </w:pPr>
      <w:r>
        <w:t xml:space="preserve">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 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 </w:t>
      </w:r>
      <w:r>
        <w:t xml:space="preserve">о нарушениях технологических процессов, создающих угрозу санитарно-эпидемиологическому благополучию населения.</w:t>
      </w:r>
    </w:p>
    <w:p>
      <w:pPr>
        <w:pStyle w:val="BodyText"/>
      </w:pPr>
      <w:r>
        <w:t xml:space="preserve">Согласно ч. 1 ст. 22 ФЗ № 52, отходы производства и потребления подлежат</w:t>
      </w:r>
    </w:p>
    <w:p>
      <w:pPr>
        <w:pStyle w:val="BodyText"/>
      </w:pPr>
      <w:r>
        <w:t xml:space="preserve">В нарушение вышеуказанных норм закона, а также раздела VI Приложения к порядке проведения обязательных предварительных и периодических медицинских осмотров работников, предусмотренных ч. 4 ст. 213 Трудового кодекса Российской Федерации, утвержденному приказом Министерства здравоохранения Российской Федерации от 28.11.2021 № 29н «Об утверждении Порядка проведения обязательных предварительных и периодических медицинских осмотров работников, предусмотренных ч. 4 ст. 213 ТК РФ,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осмотры, юридическим лицом не размещен знак о запрете курения установленного образца для обозначения территорий, где курение запрещено, </w:t>
      </w:r>
      <w:r>
        <w:t xml:space="preserve">а именно, у входа и выхода в организацию, а также при входах в туалетных комнаты для персонала.</w:t>
      </w:r>
    </w:p>
    <w:p>
      <w:pPr>
        <w:pStyle w:val="BodyText"/>
      </w:pPr>
      <w:r>
        <w:t xml:space="preserve">Не проводятся санитарно-противоэпидемические (профилактические) мероприятия, направленные на предупреждение вредного воздействия факторов производственной среды и трудового процесса на здоровье работника, включающие в себя технологические и технические мероприятия, организационные мероприятия, а именно: покрытие пола и стен помещений имеет дефекты, повреждения, следы протеканий, помещения захламлены, что затрудняет проведение текущей уборки с применением моющих и дезинфицирующих средств. Уборочный инвентарь, используемый для уборки помещений, не маркируется в зависимости от в зависимости от назначения помещений и видов работ. Инвентарь для уборки туалетов не имеет иную маркировку и не хранится отдельно от другого инвентаря.</w:t>
      </w:r>
    </w:p>
    <w:p>
      <w:pPr>
        <w:pStyle w:val="BodyText"/>
      </w:pPr>
      <w:r>
        <w:t xml:space="preserve">Не осуществляется производственный контроль за соблюдением санитарных правил и гигиенических нормативов, отсутствуют протоколы и экспертные заключения лабораторных и инструментальных исследований санитарно-противоэпидемических (профилактических) мероприятий с проведением лабораторных исследований и измерений с привлечением испытательных лабораторных центров, аккредитованных в национальной системе аккредитации.</w:t>
      </w:r>
    </w:p>
    <w:p>
      <w:pPr>
        <w:pStyle w:val="BodyText"/>
      </w:pPr>
      <w:r>
        <w:t xml:space="preserve">В помещениях объекта, оказывающего бытовые услуги, не проводится дезинсекция и дератизация.</w:t>
      </w:r>
    </w:p>
    <w:p>
      <w:pPr>
        <w:pStyle w:val="BodyText"/>
      </w:pPr>
      <w:r>
        <w:t xml:space="preserve">Не предоставлены документы, подтверждающие проведение периодического медицинского осмотра, а именно: заключительный акт периодического медицинского осмотра, медицинские книжки сотрудников, работающих</w:t>
      </w:r>
    </w:p>
    <w:p>
      <w:pPr>
        <w:pStyle w:val="BodyText"/>
      </w:pPr>
      <w:r>
        <w:t xml:space="preserve">в организации, оказывающей бытовые услуги.</w:t>
      </w:r>
    </w:p>
    <w:p>
      <w:pPr>
        <w:pStyle w:val="BodyText"/>
      </w:pPr>
      <w:r>
        <w:t xml:space="preserve">Не представлена информация о проведении вакцинации сотрудников </w:t>
      </w:r>
      <w:r>
        <w:t xml:space="preserve">в соответствии с календарем профилактических прививок по эпидемических показателям (Национальный календарь профилактических прививок).</w:t>
      </w:r>
    </w:p>
    <w:p>
      <w:pPr>
        <w:pStyle w:val="BodyText"/>
      </w:pPr>
      <w:r>
        <w:t xml:space="preserve">Отсутствует закрытый склад с герметичными оборотными (сменными) емкостями (контейнеры, бочки, цистерны) для накопления отработанных люминесцентных ламп. Отработанные люминесцентные лампы хранятся</w:t>
      </w:r>
    </w:p>
    <w:p>
      <w:pPr>
        <w:pStyle w:val="BodyText"/>
      </w:pPr>
      <w:r>
        <w:t xml:space="preserve">в офисном помещении.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2025-02-27T05:43:44Z</dcterms:created>
  <dcterms:modified xsi:type="dcterms:W3CDTF">2025-02-27T05:43:44Z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