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695f425a402a32bef782107e971046d98d7c4"/>
    <w:p>
      <w:pPr>
        <w:pStyle w:val="Heading3"/>
      </w:pPr>
      <w:r>
        <w:t xml:space="preserve">Федеральным законом от 09.11.2024 № 387-ФЗ внесены изменения в статью 104.1 Уголовного кодекса Российской Федерации</w:t>
      </w:r>
    </w:p>
    <w:p>
      <w:pPr>
        <w:pStyle w:val="FirstParagraph"/>
      </w:pPr>
      <w:r>
        <w:t xml:space="preserve">17.04.2025</w:t>
      </w:r>
    </w:p>
    <w:p>
      <w:pPr>
        <w:pStyle w:val="BodyText"/>
      </w:pPr>
      <w:r>
        <w:t xml:space="preserve">В соответствии с Федеральным законом от 09.11.2024 № 387-ФЗ внесены изменения в ст. 104.1 Уголовного кодекса Российской Федерации (Конфискация имущества).</w:t>
      </w:r>
    </w:p>
    <w:p>
      <w:pPr>
        <w:pStyle w:val="BodyText"/>
      </w:pPr>
      <w:r>
        <w:t xml:space="preserve">Пункт «а» части 1 статьи 104.1 УК РФ дополнен статьей 322.1 УК РФ (Организация незаконной миграции). При этом предусмотрено, что по данной категории уголовных дел конфискация будет применяться лишь при условии совершения преступления из корыстных побуждений.</w:t>
      </w:r>
    </w:p>
    <w:p>
      <w:pPr>
        <w:pStyle w:val="BodyText"/>
      </w:pPr>
      <w:r>
        <w:t xml:space="preserve">Таким образом, деньги, ценности и иное имущество, полученные от организации незаконной миграции, совершенной из корыстных побуждений, подлежат конфискации.</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http://marino.mos.ru/law-and-order-and-safety/the-prosecutor-s-office/the-prosecutor-rajasree/detail/12920042.html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200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200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2025-04-18T07:51:01Z</dcterms:created>
  <dcterms:modified xsi:type="dcterms:W3CDTF">2025-04-18T07:51:01Z</dcterms:modified>
</cp:coreProperties>
</file>

<file path=docProps/custom.xml><?xml version="1.0" encoding="utf-8"?>
<Properties xmlns="http://schemas.openxmlformats.org/officeDocument/2006/custom-properties" xmlns:vt="http://schemas.openxmlformats.org/officeDocument/2006/docPropsVTypes"/>
</file>