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49cd553da60aba45080017e101fa36b3b1526"/>
    <w:p>
      <w:pPr>
        <w:pStyle w:val="Heading3"/>
      </w:pPr>
      <w:r>
        <w:t xml:space="preserve">1 апреля 2025 года вступил в силу Федеральный закон от 01.04.2025 № 48-ФЗ «О внесении изменений в статью 20 Федерального закона «О бесплатной юридической помощи в Российской Федерации», расширяющий перечень категорий граждан, имеющих право на помощь юрист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В этот перечень включены многодетные родители, имеющие трех и более детей, до достижения старшим ребенком возраста восемнадцати лет или возраста двадцати трех лет при условии его обучения в организации, осуществляющей образовательную деятельность, по очной форме обучения.</w:t>
      </w:r>
    </w:p>
    <w:p>
      <w:pPr>
        <w:pStyle w:val="BodyText"/>
      </w:pPr>
      <w:r>
        <w:t xml:space="preserve">Государственные юридические бюро и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форме граждан, имеющих право на получение бесплатной юридической помощи в рамках государственной системы бесплатной юридической помощи, и составляют для них заявления, жалобы, ходатайства и другие документы правового характера случаях, определенных законом.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http://marino.mos.ru/law-and-order-and-safety/the-prosecutor-s-office/the-prosecutor-rajasree/detail/12920065.html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2025-06-01T21:47:12Z</dcterms:created>
  <dcterms:modified xsi:type="dcterms:W3CDTF">2025-06-01T21:47:12Z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