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2efd9f7ef3c4c49c3bb9a2f12e0d29fb7c14c"/>
    <w:p>
      <w:pPr>
        <w:pStyle w:val="Heading3"/>
      </w:pPr>
      <w:r>
        <w:t xml:space="preserve">Ответственность за легализацию (отмывание) денежных средств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Согласно действующему законодательству легализация (отмывание) денежных средств — это совершение финансовых операций и других сделок с денежными средствами или иным имуществом, приобретенными преступным путем, в целях придания правомерного вида владению, пользованию и распоряжению указанными денежными средствами или иным имуществом.</w:t>
      </w:r>
    </w:p>
    <w:p>
      <w:pPr>
        <w:pStyle w:val="BodyText"/>
      </w:pPr>
      <w:r>
        <w:t xml:space="preserve">Уголовным законодательством предусмотрена ответственность за совершение легализации (отмывание) денежных средств или иного имущества, приобретенных другими лицами преступным путем (ст. 174 УК РФ) и легализация (отмывание денежных средств или иного имущества, приобретенных лицом в результате совершения им преступления (ст. 174.1 УК РФ).</w:t>
      </w:r>
    </w:p>
    <w:p>
      <w:pPr>
        <w:pStyle w:val="BodyText"/>
      </w:pPr>
      <w:r>
        <w:t xml:space="preserve">Предметом преступлений, предусмотренных ст. 174 и 174.1 УК РФ, являются не только денежные средства или иное имущество, незаконное приобретение которых является признаком конкретного состава преступления (напр., хищения, получения взятки), но и денежные средства или иное имущество, полученные в качестве материального вознаграждения за совершенное преступление (напр., за убийство по найму) либо в качестве платы за сбыт предметов, ограниченных в гражданском обороте.</w:t>
      </w:r>
    </w:p>
    <w:p>
      <w:pPr>
        <w:pStyle w:val="BodyText"/>
      </w:pPr>
      <w:r>
        <w:t xml:space="preserve">При этом под денежными средствами понимаются наличные денежные средства в валюте РФ или в иностранной валюте, а также безналичные и электронные денежные средства, под иным имуществом - движимое и недвижимое имущество, имущественные права, документарные и бездокументарные ценные бумаги, а также имущество, полученное в результате переработки имущества, приобретенного преступным путем или в результате совершения преступления (напр., объект недвижимости, построенный из стройматериалов, приобретенных преступным путем).</w:t>
      </w:r>
    </w:p>
    <w:p>
      <w:pPr>
        <w:pStyle w:val="BodyText"/>
      </w:pPr>
      <w:r>
        <w:t xml:space="preserve">Также необходимо учитывать, что под финансовыми операциями могут пониматься любые операции с денежными средствами (наличные и безналичные</w:t>
      </w:r>
      <w:r>
        <w:br/>
      </w:r>
      <w:r>
        <w:t xml:space="preserve">расчеты, кассовые операции, перевод или размен денежных средств, обмен одной валюты на другую и т.п.).</w:t>
      </w:r>
    </w:p>
    <w:p>
      <w:pPr>
        <w:pStyle w:val="BodyText"/>
      </w:pPr>
      <w:r>
        <w:t xml:space="preserve">К сделкам как признаку указанных преступлений могут быть отнесены действия, направленные на установление, изменение или прекращение гражданских прав и обязанностей, а равно на создание видимости возникновения или перехода гражданских прав и обязанностей. При этом по смыслу закона указанные финансовые операции и сделки заведомо для виновного маскируют связь легализуемого имущества с преступным источником его происхождения (основным преступлением).</w:t>
      </w:r>
    </w:p>
    <w:p>
      <w:pPr>
        <w:pStyle w:val="BodyText"/>
      </w:pPr>
      <w:r>
        <w:t xml:space="preserve">Ответственность по ст. 174 или 174.1 УК РФ наступает и при совершении одной финансовой операции или сделки с денежными средствами или иным имуществом, приобретенными преступным путем (в результате совершения преступления), если будет установлено, что такое деяние было совершено с целью придания правомерного вида владению, пользованию и распоряжению указанными денежными средствами или иным имуществом (напр., заключение договора купли-продажи объекта недвижимости, преступное приобретение которого маскируется заведомо подложными документами о праве собственности на данный объект).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http://marino.mos.ru/law-and-order-and-safety/the-prosecutor-s-office/the-prosecutor-rajasree/detail/12975404.html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5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2025-07-06T11:51:39Z</dcterms:created>
  <dcterms:modified xsi:type="dcterms:W3CDTF">2025-07-06T11:51:39Z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