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c49121f83b48c06814f92c9c4ce72d83e490d2"/>
    <w:p>
      <w:pPr>
        <w:pStyle w:val="Heading3"/>
      </w:pPr>
      <w:r>
        <w:t xml:space="preserve">Прокурор разъясняет С 30 мая 2025 года в соответствии с Федеральным законом от 30.11.2024 № 420-ФЗ, в случае незаконной передачи информации о людях в количестве от 1 тыс. до 10 тыс. операторам (в т.ч. ИП) грозит штраф – от 3 млн до 5 млн руб.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 30 мая 2025 года в соответствии с Федеральным законом от 30.11.2024 № 420-ФЗ, в случае</w:t>
      </w:r>
      <w:r>
        <w:t xml:space="preserve"> </w:t>
      </w:r>
      <w:hyperlink r:id="rId20">
        <w:r>
          <w:rPr>
            <w:rStyle w:val="Hyperlink"/>
          </w:rPr>
          <w:t xml:space="preserve">незаконной передач</w:t>
        </w:r>
      </w:hyperlink>
      <w:r>
        <w:t xml:space="preserve">и информации о людях в количестве от 1 тыс. до 10 тыс.</w:t>
      </w:r>
      <w:r>
        <w:t xml:space="preserve"> </w:t>
      </w:r>
      <w:hyperlink r:id="rId21">
        <w:r>
          <w:rPr>
            <w:rStyle w:val="Hyperlink"/>
          </w:rPr>
          <w:t xml:space="preserve">операторам</w:t>
        </w:r>
      </w:hyperlink>
      <w:r>
        <w:t xml:space="preserve"> </w:t>
      </w:r>
      <w:r>
        <w:t xml:space="preserve">(в т.ч.</w:t>
      </w:r>
      <w:r>
        <w:t xml:space="preserve"> </w:t>
      </w:r>
      <w:hyperlink r:id="rId22">
        <w:r>
          <w:rPr>
            <w:rStyle w:val="Hyperlink"/>
          </w:rPr>
          <w:t xml:space="preserve">ИП</w:t>
        </w:r>
      </w:hyperlink>
      <w:r>
        <w:t xml:space="preserve">) грозит штраф – от 3 млн до 5 млн руб.</w:t>
      </w:r>
    </w:p>
    <w:p>
      <w:pPr>
        <w:pStyle w:val="BodyText"/>
      </w:pPr>
      <w:r>
        <w:t xml:space="preserve">На те же суммы оштрафуют в случае утечки от 10 тыс. до 100 тыс.</w:t>
      </w:r>
      <w:r>
        <w:t xml:space="preserve"> </w:t>
      </w:r>
      <w:hyperlink r:id="rId23">
        <w:r>
          <w:rPr>
            <w:rStyle w:val="Hyperlink"/>
          </w:rPr>
          <w:t xml:space="preserve">идентификаторов</w:t>
        </w:r>
      </w:hyperlink>
      <w:r>
        <w:t xml:space="preserve"> </w:t>
      </w:r>
      <w:r>
        <w:t xml:space="preserve">физлиц. Это уникальные обозначения, которые находятся в информсистемах операторов.</w:t>
      </w:r>
    </w:p>
    <w:p>
      <w:pPr>
        <w:pStyle w:val="BodyText"/>
      </w:pPr>
      <w:r>
        <w:t xml:space="preserve">Если оператор</w:t>
      </w:r>
      <w:r>
        <w:t xml:space="preserve"> </w:t>
      </w:r>
      <w:hyperlink r:id="rId24">
        <w:r>
          <w:rPr>
            <w:rStyle w:val="Hyperlink"/>
          </w:rPr>
          <w:t xml:space="preserve">скроет</w:t>
        </w:r>
      </w:hyperlink>
      <w:r>
        <w:t xml:space="preserve"> </w:t>
      </w:r>
      <w:r>
        <w:t xml:space="preserve">утечку данных, штраф будет от 1 млн до 3 млн руб.</w:t>
      </w:r>
    </w:p>
    <w:p>
      <w:pPr>
        <w:pStyle w:val="BodyText"/>
      </w:pPr>
      <w:hyperlink r:id="rId25">
        <w:r>
          <w:rPr>
            <w:rStyle w:val="Hyperlink"/>
          </w:rPr>
          <w:t xml:space="preserve">Отказ</w:t>
        </w:r>
      </w:hyperlink>
      <w:r>
        <w:t xml:space="preserve"> </w:t>
      </w:r>
      <w:r>
        <w:t xml:space="preserve">заключить договор с потребителем из-за того, что он не стал проходить идентификацию (аутентификацию) по биометрии, повлечет штраф:</w:t>
      </w:r>
    </w:p>
    <w:p>
      <w:pPr>
        <w:pStyle w:val="BodyText"/>
      </w:pPr>
      <w:r>
        <w:t xml:space="preserve">· для любых должностных лиц и ИП – от 50 тыс. до 100 тыс. руб.;</w:t>
      </w:r>
    </w:p>
    <w:p>
      <w:pPr>
        <w:pStyle w:val="BodyText"/>
      </w:pPr>
      <w:r>
        <w:t xml:space="preserve">· для любых компаний – от 200 тыс. до 500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http://marino.mos.ru/law-and-order-and-safety/the-prosecutor-s-office/the-prosecutor-rajasree/detail/13061436.html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Марьино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law-and-order-and-safety/the-prosecutor-s-office/the-prosecutor-rajasree/detail/13061436.html" TargetMode="External" /><Relationship Type="http://schemas.openxmlformats.org/officeDocument/2006/relationships/hyperlink" Id="rId24" Target="https://login.consultant.ru/link/?req=doc&amp;base=LAW&amp;n=505887&amp;dst=100049&amp;demo=1" TargetMode="External" /><Relationship Type="http://schemas.openxmlformats.org/officeDocument/2006/relationships/hyperlink" Id="rId20" Target="https://login.consultant.ru/link/?req=doc&amp;base=LAW&amp;n=505887&amp;dst=100051&amp;demo=1" TargetMode="External" /><Relationship Type="http://schemas.openxmlformats.org/officeDocument/2006/relationships/hyperlink" Id="rId22" Target="https://login.consultant.ru/link/?req=doc&amp;base=LAW&amp;n=505887&amp;dst=100067&amp;demo=1" TargetMode="External" /><Relationship Type="http://schemas.openxmlformats.org/officeDocument/2006/relationships/hyperlink" Id="rId21" Target="https://login.consultant.ru/link/?req=doc&amp;base=LAW&amp;n=505887&amp;dst=100069&amp;demo=1" TargetMode="External" /><Relationship Type="http://schemas.openxmlformats.org/officeDocument/2006/relationships/hyperlink" Id="rId23" Target="https://login.consultant.ru/link/?req=doc&amp;base=LAW&amp;n=505887&amp;dst=100070&amp;demo=1" TargetMode="External" /><Relationship Type="http://schemas.openxmlformats.org/officeDocument/2006/relationships/hyperlink" Id="rId25" Target="https://login.consultant.ru/link/?req=doc&amp;base=LAW&amp;n=505887&amp;dst=100086&amp;dem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law-and-order-and-safety/the-prosecutor-s-office/the-prosecutor-rajasree/detail/13061436.html" TargetMode="External" /><Relationship Type="http://schemas.openxmlformats.org/officeDocument/2006/relationships/hyperlink" Id="rId24" Target="https://login.consultant.ru/link/?req=doc&amp;base=LAW&amp;n=505887&amp;dst=100049&amp;demo=1" TargetMode="External" /><Relationship Type="http://schemas.openxmlformats.org/officeDocument/2006/relationships/hyperlink" Id="rId20" Target="https://login.consultant.ru/link/?req=doc&amp;base=LAW&amp;n=505887&amp;dst=100051&amp;demo=1" TargetMode="External" /><Relationship Type="http://schemas.openxmlformats.org/officeDocument/2006/relationships/hyperlink" Id="rId22" Target="https://login.consultant.ru/link/?req=doc&amp;base=LAW&amp;n=505887&amp;dst=100067&amp;demo=1" TargetMode="External" /><Relationship Type="http://schemas.openxmlformats.org/officeDocument/2006/relationships/hyperlink" Id="rId21" Target="https://login.consultant.ru/link/?req=doc&amp;base=LAW&amp;n=505887&amp;dst=100069&amp;demo=1" TargetMode="External" /><Relationship Type="http://schemas.openxmlformats.org/officeDocument/2006/relationships/hyperlink" Id="rId23" Target="https://login.consultant.ru/link/?req=doc&amp;base=LAW&amp;n=505887&amp;dst=100070&amp;demo=1" TargetMode="External" /><Relationship Type="http://schemas.openxmlformats.org/officeDocument/2006/relationships/hyperlink" Id="rId25" Target="https://login.consultant.ru/link/?req=doc&amp;base=LAW&amp;n=505887&amp;dst=100086&amp;dem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2025-07-10T07:25:58Z</dcterms:created>
  <dcterms:modified xsi:type="dcterms:W3CDTF">2025-07-10T07:25:58Z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