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7e8521a822aebedb2457b688834b2ad0379ca2"/>
    <w:p>
      <w:pPr>
        <w:pStyle w:val="Heading3"/>
      </w:pPr>
      <w:r>
        <w:t xml:space="preserve">Ответственность за несанкционированное использование беспилотных летательных аппаратов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В соответствии с требованиями федерального законодательства беспилотные гражданские воздушные суда с максимальной взлетной массой от 0,15 килограмма до 30 килограммов, сверхлегкие пилотируемые гражданские воздушные суда с массой конструкции 115 килограммов и менее подлежат обязательному государственному учету, для чего владелец такого судна представляет в Федеральное агентство воздушного транспорта соответствующее заявление о постановке его на государственный учет с приложением фотографии этого беспилотного воздушного судна.</w:t>
      </w:r>
    </w:p>
    <w:p>
      <w:pPr>
        <w:pStyle w:val="BodyText"/>
      </w:pPr>
      <w:r>
        <w:t xml:space="preserve">В случае приобретения беспилотного воздушного судна на территории Российской Федерации (ввоза в Российскую Федерацию) заявление необходимо подать в течение 10 рабочих дней со дня приобретения (со дня ввоза), а в случае самостоятельного его изготовления - до начала его использования для выполнения полетов.</w:t>
      </w:r>
    </w:p>
    <w:p>
      <w:pPr>
        <w:pStyle w:val="BodyText"/>
      </w:pPr>
      <w:r>
        <w:t xml:space="preserve">Пользователи воздушного пространства обязаны для использования воздушного пространства в запретных зонах и постоянных зонах ограничения полетов получить разрешение лиц, в интересах которых установлены такие зоны.</w:t>
      </w:r>
    </w:p>
    <w:p>
      <w:pPr>
        <w:pStyle w:val="BodyText"/>
      </w:pPr>
      <w:r>
        <w:t xml:space="preserve">Полеты беспилотных воздушных судов (за исключением полетов беспилотных воздушных судов с максимальной взлетной массой менее 0,25 кг), а также посадка (взлет) на расположенные в границах населенных пунктов площадки, сведения о которых не опубликованы в документах аэронавигационной информации, выполняются при наличии у пользователей воздушного пространства разрешения соответствующего органа местного самоуправления.</w:t>
      </w:r>
    </w:p>
    <w:p>
      <w:pPr>
        <w:pStyle w:val="BodyText"/>
      </w:pPr>
      <w:r>
        <w:t xml:space="preserve">В соответствии с ч. 1 ст. 11.4 КоАП РФ нарушение пользователем воздушного пространства федеральных правил использования воздушного пространства, если это действие не содержит уголовно наказуемого деяния, влечет наложение административного штрафа (на граждан в размере от 20 до 50 тысяч рублей; на должностных лиц - от 100 до 150 тысяч рублей; на юридических лиц - от 250 до 300 тысяч рублей или административное приостановление деятельности на срок до 90 суток).</w:t>
      </w:r>
    </w:p>
    <w:p>
      <w:pPr>
        <w:pStyle w:val="BodyText"/>
      </w:pPr>
      <w:r>
        <w:t xml:space="preserve">За использование воздушного пространства Российской Федерации без разрешения в случаях, когда такое разрешение требуется в соответствии с законодательством Российской Федерации, если это деяние повлекло по неосторожности причинение тяжкого вреда здоровью или смерть человека, ст.</w:t>
      </w:r>
    </w:p>
    <w:p>
      <w:pPr>
        <w:pStyle w:val="BodyText"/>
      </w:pPr>
      <w:r>
        <w:t xml:space="preserve">271.1 УК РФ предусмотрена уголовная ответственность (лишение свободы на срок до пяти лет с лишением права занимать определенные должности или заниматься определенной деятельностью на срок до трех лет).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http://marino.mos.ru/law-and-order-and-safety/the-prosecutor-s-office/the-prosecutor-rajasree/detail/13061576.html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5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5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2025-06-30T04:04:26Z</dcterms:created>
  <dcterms:modified xsi:type="dcterms:W3CDTF">2025-06-30T04:04:26Z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