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cd2910c766fe8af7abbb12c75b35cbe506c15"/>
    <w:p>
      <w:pPr>
        <w:pStyle w:val="Heading3"/>
      </w:pPr>
      <w:r>
        <w:t xml:space="preserve">Уголовная ответственность за незаконную деятельность коллекторов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Статьей 172.4 УК РФ, предусмотрена ответственность за незаконное осуществление деятельности по возврату просроченной задолженности физических лиц.</w:t>
      </w:r>
    </w:p>
    <w:p>
      <w:pPr>
        <w:pStyle w:val="BodyText"/>
      </w:pPr>
      <w:r>
        <w:t xml:space="preserve">Состав указанного преступления образуют действия, направленные на возврат просроченной задолженности физических лиц и сопряженных с угрозой применения насилия либо уничтожения или повреждения имущества, а равно с угрозой распространения, либо распространением заведомо ложных сведений, порочащих честь и достоинство потерпевшего или его близких, лицом, действующим от имени организации-кредитора или в ее интересах, в том числе работником организации-кредитора, либо лицом, которому переданы права кредитора по договору уступки права (требования), либо лицом, действующим от имени или в интересах лица, которому переданы указанные права.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2025-06-29T21:15:22Z</dcterms:created>
  <dcterms:modified xsi:type="dcterms:W3CDTF">2025-06-29T21:15:22Z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