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12d52ce67a61af42e7973f90b950dd8783d59"/>
    <w:p>
      <w:pPr>
        <w:pStyle w:val="Heading3"/>
      </w:pPr>
      <w:r>
        <w:t xml:space="preserve">Административная ответственность за производство и распространение экстремистских материалов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Ст. 20.29 Кодекса Российской Федерации об административных правонарушениях (далее - КоАП РФ) установлена административная ответственность за массовое распространение экстремистских материалов, включенных в опубликованный федеральный список экстремистских материалов, иных экстремистских материалов, указанных в пункте 3 статьи 1 Федерального закона от 25.07.2002 № 114-ФЗ «О противодействии экстремистской деятельности» (далее - Федеральный закон № 114-ФЗ), либо их производство или хранение в целях массового распространения, за исключением случаев, предусмотренных частями</w:t>
      </w:r>
    </w:p>
    <w:p>
      <w:pPr>
        <w:pStyle w:val="BodyText"/>
      </w:pPr>
      <w:r>
        <w:t xml:space="preserve">4.1 и 6 статьи 13.15, статьями 13.37, 20.3 и 20.3.2 КоАП РФ, если эти действия не содержат признаков уголовно наказуемого деяния.</w:t>
      </w:r>
    </w:p>
    <w:p>
      <w:pPr>
        <w:pStyle w:val="BodyText"/>
      </w:pPr>
      <w:r>
        <w:t xml:space="preserve">Федеральным законом от 13.06.2023 № 231-ФЗ «О внесении изменений в КоАП РФ» внесены изменения в ст. 20.29 КоАП РФ. В соответствии с изменениями административная ответственность будет наступать за массовое распространение, производство, хранение не только экстремистских материалов, включенных в опубликованный федеральный список экстремистских материалов, но и иных материалов, отнесенных к экстремистским. Данная норма закона действует с 24.06.2023.</w:t>
      </w:r>
    </w:p>
    <w:p>
      <w:pPr>
        <w:pStyle w:val="BodyText"/>
      </w:pPr>
      <w:r>
        <w:t xml:space="preserve">В силу ч. 1 ст. 4.5 КоАП РФ срок давности привлечения к административной ответственности по ст. 20.29 КоАП РФ составляет три месяца. При длящемся административном правонарушении сроки, предусмотренные ч. 1 ст. 4.5 КоАП РФ, начинают исчисляться со дня обнаружения административного правонарушения (ч. 2 ст. 4.5 КоАП РФ).</w:t>
      </w:r>
    </w:p>
    <w:p>
      <w:pPr>
        <w:pStyle w:val="BodyText"/>
      </w:pPr>
      <w:r>
        <w:t xml:space="preserve">Санкция статьи 20.29 КоАП РФ предусматривает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оборудования, использованного для их производства; на должностных лиц - от двух тысяч до пяти тысяч рублей с конфискацией указанных материалов и оборудования, использованного для их производства; на юридических лиц -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оборудования, использованного для их 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http://marino.mos.ru/law-and-order-and-safety/the-prosecutor-s-office/the-prosecutor-rajasree/detail/13061685.html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3061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2025-07-16T21:07:00Z</dcterms:created>
  <dcterms:modified xsi:type="dcterms:W3CDTF">2025-07-16T21:07:00Z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