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dd9df9b97ae266406697f77cfa51edce532bd"/>
    <w:p>
      <w:pPr>
        <w:pStyle w:val="Heading3"/>
      </w:pPr>
      <w:r>
        <w:t xml:space="preserve">Изменена подсудность административных дел о признании информационных материалов экстремистскими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14.02.2024 № 15-ФЗ внесены изменения в Кодекс административного судопроизводства Российской Федерации и статью 13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Административные дела о признании информационных материалов экстремистскими теперь отнесены к подсудности верховного суда республики, краевого, областного суда, суда города федерального значения, суда автономной области и суда автономного округа по месту обнаружения, распространения данных материалов или по адресу организации, осуществляющей их производство.</w:t>
      </w:r>
    </w:p>
    <w:p>
      <w:pPr>
        <w:pStyle w:val="BodyText"/>
      </w:pPr>
      <w:r>
        <w:t xml:space="preserve">Ранее данные дела рассматривались районными судами.</w:t>
      </w:r>
    </w:p>
    <w:p>
      <w:pPr>
        <w:pStyle w:val="BodyText"/>
      </w:pPr>
      <w:r>
        <w:t xml:space="preserve">При подготовке указанного административного дела к судебному разбирательству суд привлекает к участию в деле правообладателей, издателей, авторов произведений или перевода соответствующих материалов, если такие лица известны.</w:t>
      </w:r>
    </w:p>
    <w:p>
      <w:pPr>
        <w:pStyle w:val="BodyText"/>
      </w:pPr>
      <w:r>
        <w:t xml:space="preserve">Если подан административный иск о признании издания религиозного характера экстремистским, суд вызывает в судебное заседание специалиста, обладающего специальными знаниями по соответствующей религии.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2025-06-25T20:35:06Z</dcterms:created>
  <dcterms:modified xsi:type="dcterms:W3CDTF">2025-06-25T20:35:06Z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