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d18791474a5bded94551ce55eea1d36f31b30"/>
    <w:p>
      <w:pPr>
        <w:pStyle w:val="Heading3"/>
      </w:pPr>
      <w:r>
        <w:t xml:space="preserve">Прекращение уголовного дела или уголовного преследования в связи с назначением меры уголовно-правового характера в виде судебного штрафа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Институт судебного штрафа введён в действие законодателем 03.07.2016.</w:t>
      </w:r>
    </w:p>
    <w:p>
      <w:pPr>
        <w:pStyle w:val="BodyText"/>
      </w:pPr>
      <w:r>
        <w:t xml:space="preserve">Судебный штраф является альтернативой уголовному преследованию, осуждению и наказанию, служит интересам и потерпевших, так как условие его применения - возмещение ущерба или заглаживание причинённого преступлением вреда.Возможность назначения лицу судебного штрафа законодатель неразрывно связывает в уголовном законе с освобождением его от уголовной ответственности (статья 76.2 Уголовного кодекса РФ), а в уголовно-процессуальном законе - с прекращением в отношении этого лица уголовного дела и (или) преследования (ст. 25.1 Уголовно-процессуального кодекса РФ).</w:t>
      </w:r>
    </w:p>
    <w:p>
      <w:pPr>
        <w:pStyle w:val="BodyText"/>
      </w:pPr>
      <w:r>
        <w:t xml:space="preserve">Суд может прекратить уголовное дело с назначением судебного штрафа, если преступление относится к категории небольшой или средней тяжести, совершено впервые, обвиняемое (подозреваемое) лицо возместило ущерб или загладило причиненный преступлением вред.</w:t>
      </w:r>
    </w:p>
    <w:p>
      <w:pPr>
        <w:pStyle w:val="BodyText"/>
      </w:pPr>
      <w:r>
        <w:t xml:space="preserve">Под заглаживанием вреда понимается имущественная, в том числе денежная,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>
      <w:pPr>
        <w:pStyle w:val="BodyText"/>
      </w:pPr>
      <w:r>
        <w:t xml:space="preserve">Возможные способы заглаживания причинённого преступлением вреда законом не ограничены. Вред, причинённый преступлением, может быть возмещён в любой форме, позволяющей компенсировать негативные изменения, причинённые преступлением охраняемым уголовным законом общественным отношениям.</w:t>
      </w:r>
    </w:p>
    <w:p>
      <w:pPr>
        <w:pStyle w:val="BodyText"/>
      </w:pPr>
      <w:r>
        <w:t xml:space="preserve">Если вред причинён и потерпевшему, и интересам общества и государства (например преступлением, предусмотренным</w:t>
      </w:r>
      <w:r>
        <w:br/>
      </w:r>
      <w:r>
        <w:t xml:space="preserve">ч. 1 ст. 318 УК РФ – применение насилия в отношении представителя власти, которое посягает не только на личную неприкосновенность представителя власти, но и на установленный порядок управления), то необходимое условие освобождения от ответственности с назначением судебного штрафа – это заглаживание вреда, причинённого каждому охраняемому законом объекту посягательства, то есть и потерпевшему, и обществу и государству.</w:t>
      </w:r>
    </w:p>
    <w:p>
      <w:pPr>
        <w:pStyle w:val="BodyText"/>
      </w:pPr>
      <w:r>
        <w:t xml:space="preserve">В силу ст.104.5 УК РФ размер судебного штрафа определяется судом с учётом тяжести совершённого преступления и имущественного положения лица, освобождаемого от уголовной ответственности, и его семьи, а также с учётом возможности получения указанным лицом заработной платы или иного дохода.</w:t>
      </w:r>
    </w:p>
    <w:p>
      <w:pPr>
        <w:pStyle w:val="BodyText"/>
      </w:pPr>
      <w:r>
        <w:t xml:space="preserve">При этом размер судебного штрафа не может превышать половину максимального размера штрафа, предусмотренного соответствующей статьёй Особенной части УК РФ.</w:t>
      </w:r>
    </w:p>
    <w:p>
      <w:pPr>
        <w:pStyle w:val="BodyText"/>
      </w:pPr>
      <w:r>
        <w:t xml:space="preserve">В случае, если штраф не предусмотрен соответствующей статьёй Особенной части УК РФ, размер судебного штрафа не может быть более 250 000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2025-07-01T04:32:05Z</dcterms:created>
  <dcterms:modified xsi:type="dcterms:W3CDTF">2025-07-01T04:32:05Z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