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iCs/>
          <w:i/>
        </w:rPr>
        <w:t xml:space="preserve">Эксперты столичной Кадастровой палаты рассказали о результатах предоставления сведений из Единого государственного реестра недвижимости (ЕГРН) за 9 месяцев 2021 года</w:t>
      </w:r>
    </w:p>
    <w:p>
      <w:pPr>
        <w:pStyle w:val="BodyText"/>
      </w:pPr>
      <w:r>
        <w:rPr>
          <w:bCs/>
          <w:b/>
        </w:rPr>
        <w:t xml:space="preserve">Одними из ключевых направлений Кадастровой палаты 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 и их владельцах. Учреждение достигло высоких показателей при реализации данной услуги – 97 % результатов по запросам 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 13,97 млн сведений из ЕГРН, при этом количество в электронном виде превышает показатель выданных «бумажных» выписок более чем в 38 раз.</w:t>
      </w:r>
    </w:p>
    <w:p>
      <w:pPr>
        <w:pStyle w:val="BodyText"/>
      </w:pPr>
      <w:r>
        <w:t xml:space="preserve">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</w:t>
      </w:r>
    </w:p>
    <w:p>
      <w:pPr>
        <w:pStyle w:val="BodyText"/>
      </w:pP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 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http://marino.mos.ru/presscenter/news/detail/10393613.html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0393613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0393613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2025-04-01T01:48:14Z</dcterms:created>
  <dcterms:modified xsi:type="dcterms:W3CDTF">2025-04-01T01:48:14Z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