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ece4a4cf9037f755c164052515b75fb7b555"/>
    <w:p>
      <w:pPr>
        <w:pStyle w:val="Heading3"/>
      </w:pPr>
      <w:r>
        <w:t xml:space="preserve">Как запросить копии документов из реестрового дела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Эксперты филиала проконсультировали жителей столицы о порядке запроса копии договоров и иных документов, выражающих содержание односторонних сделок из реестрового дела</w:t>
      </w:r>
    </w:p>
    <w:p>
      <w:pPr>
        <w:pStyle w:val="BodyText"/>
      </w:pPr>
      <w:r>
        <w:rPr>
          <w:bCs/>
          <w:b/>
        </w:rP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предыдущий правообладатель (продавец) запросить 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правообладателю, его законному представителю, лицу, получившему доверенность от правообладателя или его законного представителя, по их запросам выдаются 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 на соответствующий объект недвижимости, является или являлось стороной сделки).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 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rPr>
          <w:iCs/>
          <w:i/>
        </w:rP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http://marino.mos.ru/presscenter/news/detail/10982347.html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82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982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2025-04-01T02:11:01Z</dcterms:created>
  <dcterms:modified xsi:type="dcterms:W3CDTF">2025-04-01T02:11:01Z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